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7C179">
      <w:pPr>
        <w:adjustRightInd w:val="0"/>
        <w:snapToGrid w:val="0"/>
        <w:spacing w:line="288" w:lineRule="auto"/>
        <w:jc w:val="center"/>
        <w:rPr>
          <w:rFonts w:hint="eastAsia" w:ascii="方正小标宋简体" w:hAnsi="宋体" w:eastAsia="方正小标宋简体" w:cstheme="minorBidi"/>
          <w:bCs/>
          <w:color w:val="000000"/>
          <w:sz w:val="44"/>
          <w:szCs w:val="44"/>
        </w:rPr>
      </w:pPr>
      <w:r>
        <w:rPr>
          <w:rFonts w:hint="eastAsia" w:ascii="方正小标宋简体" w:hAnsi="宋体" w:eastAsia="方正小标宋简体" w:cstheme="minorBidi"/>
          <w:bCs/>
          <w:color w:val="000000"/>
          <w:sz w:val="44"/>
          <w:szCs w:val="44"/>
        </w:rPr>
        <w:t>指数收益凭证在财富管理服务中的应用</w:t>
      </w:r>
    </w:p>
    <w:p w14:paraId="38C0227B">
      <w:pPr>
        <w:adjustRightInd w:val="0"/>
        <w:snapToGrid w:val="0"/>
        <w:spacing w:line="288" w:lineRule="auto"/>
        <w:jc w:val="center"/>
        <w:rPr>
          <w:rFonts w:hint="eastAsia" w:ascii="方正小标宋简体" w:hAnsi="宋体" w:eastAsia="方正小标宋简体" w:cstheme="minorBidi"/>
          <w:bCs/>
          <w:color w:val="000000"/>
          <w:sz w:val="44"/>
          <w:szCs w:val="44"/>
        </w:rPr>
      </w:pPr>
      <w:r>
        <w:rPr>
          <w:rFonts w:hint="eastAsia" w:ascii="方正小标宋简体" w:hAnsi="宋体" w:eastAsia="方正小标宋简体" w:cstheme="minorBidi"/>
          <w:bCs/>
          <w:color w:val="000000"/>
          <w:sz w:val="44"/>
          <w:szCs w:val="44"/>
        </w:rPr>
        <w:t>——国信证券运用指数收益凭证案例介绍</w:t>
      </w:r>
    </w:p>
    <w:p w14:paraId="7CEB09ED">
      <w:pPr>
        <w:adjustRightInd w:val="0"/>
        <w:snapToGrid w:val="0"/>
        <w:spacing w:line="288" w:lineRule="auto"/>
        <w:jc w:val="center"/>
        <w:rPr>
          <w:rFonts w:hint="eastAsia" w:ascii="方正小标宋简体" w:hAnsi="宋体" w:eastAsia="方正小标宋简体" w:cstheme="minorBidi"/>
          <w:bCs/>
          <w:color w:val="000000"/>
          <w:sz w:val="44"/>
          <w:szCs w:val="44"/>
        </w:rPr>
      </w:pPr>
    </w:p>
    <w:p w14:paraId="66DC875A">
      <w:pPr>
        <w:adjustRightInd w:val="0"/>
        <w:snapToGrid w:val="0"/>
        <w:spacing w:line="355" w:lineRule="auto"/>
        <w:rPr>
          <w:rFonts w:hint="eastAsia" w:ascii="黑体" w:hAnsi="黑体" w:eastAsia="黑体" w:cstheme="minorBidi"/>
          <w:snapToGrid w:val="0"/>
          <w:kern w:val="0"/>
          <w:sz w:val="32"/>
          <w:szCs w:val="32"/>
        </w:rPr>
      </w:pPr>
      <w:r>
        <w:rPr>
          <w:rFonts w:hint="eastAsia" w:ascii="黑体" w:hAnsi="黑体" w:eastAsia="黑体" w:cstheme="minorBidi"/>
          <w:snapToGrid w:val="0"/>
          <w:kern w:val="0"/>
          <w:sz w:val="32"/>
          <w:szCs w:val="32"/>
        </w:rPr>
        <w:t>一、</w:t>
      </w:r>
      <w:r>
        <w:rPr>
          <w:rFonts w:hint="eastAsia" w:ascii="黑体" w:hAnsi="黑体" w:eastAsia="黑体" w:cstheme="minorBidi"/>
          <w:snapToGrid w:val="0"/>
          <w:kern w:val="0"/>
          <w:sz w:val="32"/>
          <w:szCs w:val="32"/>
          <w:lang w:val="en-US" w:eastAsia="zh-CN"/>
        </w:rPr>
        <w:t>背景</w:t>
      </w:r>
      <w:r>
        <w:rPr>
          <w:rFonts w:hint="eastAsia" w:ascii="黑体" w:hAnsi="黑体" w:eastAsia="黑体" w:cstheme="minorBidi"/>
          <w:snapToGrid w:val="0"/>
          <w:kern w:val="0"/>
          <w:sz w:val="32"/>
          <w:szCs w:val="32"/>
        </w:rPr>
        <w:t>介绍</w:t>
      </w:r>
    </w:p>
    <w:p w14:paraId="1DCF1700">
      <w:pPr>
        <w:adjustRightInd w:val="0"/>
        <w:snapToGrid w:val="0"/>
        <w:spacing w:line="350" w:lineRule="auto"/>
        <w:ind w:firstLine="640" w:firstLineChars="200"/>
        <w:rPr>
          <w:rFonts w:hint="eastAsia"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2023年，国信证券浙江分公司在服务当地企业客户过程中敏锐捕捉到市场需求：区域内大量企业存在闲置资金现金管理需求，亟需专业机构提供定制化、高适配性的现金管理及投资服务方案。这一需求与国信证券长期深耕大湾区资本市场的资源禀赋形成良性呼应——作为根植粤港澳大湾区、辐射全国的综合型券商，国信证券自2022年起</w:t>
      </w:r>
      <w:bookmarkStart w:id="0" w:name="_GoBack"/>
      <w:bookmarkEnd w:id="0"/>
      <w:r>
        <w:rPr>
          <w:rFonts w:hint="eastAsia" w:ascii="仿宋_GB2312" w:eastAsia="仿宋_GB2312" w:hAnsiTheme="minorHAnsi" w:cstheme="minorBidi"/>
          <w:snapToGrid w:val="0"/>
          <w:kern w:val="0"/>
          <w:sz w:val="32"/>
          <w:szCs w:val="32"/>
          <w:lang w:eastAsia="zh-Hans"/>
        </w:rPr>
        <w:t>便以“中债-国信证券深圳市国有企业信用债精选指数”为核心工具，构建起“指数研发—产品创新—生态服务”的全链条服务体系，为此次需求对接埋下了关键伏笔。</w:t>
      </w:r>
    </w:p>
    <w:p w14:paraId="27C0F4C1">
      <w:pPr>
        <w:adjustRightInd w:val="0"/>
        <w:snapToGrid w:val="0"/>
        <w:spacing w:line="355" w:lineRule="auto"/>
        <w:rPr>
          <w:rFonts w:hint="eastAsia" w:ascii="黑体" w:hAnsi="黑体" w:eastAsia="黑体" w:cstheme="minorBidi"/>
          <w:snapToGrid w:val="0"/>
          <w:kern w:val="0"/>
          <w:sz w:val="32"/>
          <w:szCs w:val="32"/>
        </w:rPr>
      </w:pPr>
      <w:r>
        <w:rPr>
          <w:rFonts w:hint="eastAsia" w:ascii="黑体" w:hAnsi="黑体" w:eastAsia="黑体" w:cstheme="minorBidi"/>
          <w:snapToGrid w:val="0"/>
          <w:kern w:val="0"/>
          <w:sz w:val="32"/>
          <w:szCs w:val="32"/>
        </w:rPr>
        <w:t>二、产品构建与发展过程</w:t>
      </w:r>
    </w:p>
    <w:p w14:paraId="634B06CB">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早在2022年，国信证券便聚焦大湾区国资国企融资需求与市场投资诉求的双向痛点，研发推出“中债-国信证券深圳市国有企业信用债精选指数”。该指数以深圳市国资委实际控制的15家优质国企信用债为成分券，覆盖基建、能源、科技等大湾区核心产业领域，成为全国首个精准定位大湾区国资信用债的标杆性指数。基于该指数的底层支撑，国信证券围绕企业现金管理与投资者配置需求，逐步构建起覆盖多场景的服务产品矩阵，先后推出指数收益互换产品、中国外汇交易中心深圳国资债券篮子及湾区企业科创债篮子，为投资者提供灵活的指数化投资工具，满足其对流动性、期限匹配的差异化需求。</w:t>
      </w:r>
    </w:p>
    <w:p w14:paraId="50508904">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2023年底，针对企业客户的现金管理痛点，国信证券进一步推出挂钩该指数的证券公司收益凭证，将企业闲置资金以低成本、高效率的方式导入大湾区国企债券市场——企业作为投资者，可获得指数对应的稳健收益，而金融机构则通过专业化的资产配置与风险管控能力，将社会闲置资金精准滴灌至湾区基建、科技等重点领域的国企，反哺实体经济发展。</w:t>
      </w:r>
    </w:p>
    <w:p w14:paraId="31C5DEF1">
      <w:pPr>
        <w:adjustRightInd w:val="0"/>
        <w:snapToGrid w:val="0"/>
        <w:spacing w:line="355" w:lineRule="auto"/>
        <w:rPr>
          <w:rFonts w:hint="eastAsia" w:ascii="黑体" w:hAnsi="黑体" w:eastAsia="黑体" w:cstheme="minorBidi"/>
          <w:snapToGrid w:val="0"/>
          <w:kern w:val="0"/>
          <w:sz w:val="32"/>
          <w:szCs w:val="32"/>
          <w:lang w:val="en-US" w:eastAsia="zh-CN"/>
        </w:rPr>
      </w:pPr>
      <w:r>
        <w:rPr>
          <w:rFonts w:hint="eastAsia" w:ascii="黑体" w:hAnsi="黑体" w:eastAsia="黑体" w:cstheme="minorBidi"/>
          <w:snapToGrid w:val="0"/>
          <w:kern w:val="0"/>
          <w:sz w:val="32"/>
          <w:szCs w:val="32"/>
          <w:lang w:val="en-US" w:eastAsia="zh-CN"/>
        </w:rPr>
        <w:t>三、产品亮点</w:t>
      </w:r>
    </w:p>
    <w:p w14:paraId="08DFA09F">
      <w:pPr>
        <w:adjustRightInd w:val="0"/>
        <w:snapToGrid w:val="0"/>
        <w:spacing w:line="350" w:lineRule="auto"/>
        <w:ind w:firstLine="640" w:firstLineChars="200"/>
        <w:rPr>
          <w:rFonts w:hint="eastAsia"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这一服务方案以“债券投资交易+指数创新+收益凭证”为驱动，形成了“社会资金低成本集聚—精准支持湾区国企—反哺实体经济—投资者获得稳健收益”的良性循环。对湾区国资企业而言，通过资金注入获得了低成本、精准的流动性支持，进一步深化了企业与区域经济的绑定；对投资者而言，借助指数化产品降低了参与大湾区国资债投资的门槛，依托标准化、透明化的投资标的满足了多元化配置需求；对证券公司业务而言，国信证券在企业客户服务领域的市场认可度持续提升，有效带动了债券业务、财富管理业务的协同增长。通过定制化设计，</w:t>
      </w:r>
      <w:r>
        <w:rPr>
          <w:rFonts w:hint="eastAsia" w:ascii="仿宋_GB2312" w:eastAsia="仿宋_GB2312" w:hAnsiTheme="minorHAnsi" w:cstheme="minorBidi"/>
          <w:snapToGrid w:val="0"/>
          <w:kern w:val="0"/>
          <w:sz w:val="32"/>
          <w:szCs w:val="32"/>
          <w:lang w:val="en-US" w:eastAsia="zh-CN"/>
        </w:rPr>
        <w:t>该产品</w:t>
      </w:r>
      <w:r>
        <w:rPr>
          <w:rFonts w:hint="eastAsia" w:ascii="仿宋_GB2312" w:eastAsia="仿宋_GB2312" w:hAnsiTheme="minorHAnsi" w:cstheme="minorBidi"/>
          <w:snapToGrid w:val="0"/>
          <w:kern w:val="0"/>
          <w:sz w:val="32"/>
          <w:szCs w:val="32"/>
          <w:lang w:eastAsia="zh-Hans"/>
        </w:rPr>
        <w:t>为企业闲置资金提供了高效配置工具，有助于激活大湾区国企信用债市场流动性，并助力投资者通过指数化投资分享区域发展红利。</w:t>
      </w:r>
    </w:p>
    <w:p w14:paraId="2EC71D6F">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截至目前，国信证券已累计发行挂钩该指数的收益凭证约80亿元，带动深圳市国有企业信用债做市交易量超过110亿元，为客户提供了多元化资产配置选择。目前，挂钩该指数的收益凭证已覆盖国信证券全部分公司销售网络，共有来自13个省份的43家机构及企业参与投资配置，其中包括5家金融机构、29家上市公司及9家非上市公司。国信证券已累计为客户兑付收益超6000万元，让全国各地的投资者切实分享到粤港澳大湾区建设发展的成果。</w:t>
      </w:r>
    </w:p>
    <w:p w14:paraId="27E95861">
      <w:pPr>
        <w:adjustRightInd w:val="0"/>
        <w:snapToGrid w:val="0"/>
        <w:spacing w:line="355" w:lineRule="auto"/>
        <w:rPr>
          <w:rFonts w:hint="eastAsia" w:ascii="黑体" w:hAnsi="黑体" w:eastAsia="黑体" w:cstheme="minorBidi"/>
          <w:snapToGrid w:val="0"/>
          <w:kern w:val="0"/>
          <w:sz w:val="32"/>
          <w:szCs w:val="32"/>
        </w:rPr>
      </w:pPr>
      <w:r>
        <w:rPr>
          <w:rFonts w:hint="eastAsia" w:ascii="黑体" w:hAnsi="黑体" w:eastAsia="黑体" w:cstheme="minorBidi"/>
          <w:snapToGrid w:val="0"/>
          <w:kern w:val="0"/>
          <w:sz w:val="32"/>
          <w:szCs w:val="32"/>
          <w:lang w:val="en-US" w:eastAsia="zh-CN"/>
        </w:rPr>
        <w:t>四、</w:t>
      </w:r>
      <w:r>
        <w:rPr>
          <w:rFonts w:hint="eastAsia" w:ascii="黑体" w:hAnsi="黑体" w:eastAsia="黑体" w:cstheme="minorBidi"/>
          <w:snapToGrid w:val="0"/>
          <w:kern w:val="0"/>
          <w:sz w:val="32"/>
          <w:szCs w:val="32"/>
        </w:rPr>
        <w:t>产品意义与未来展望</w:t>
      </w:r>
    </w:p>
    <w:p w14:paraId="33982DD7">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国信证券推出的“中债-国信证券深圳市国有企业信用债精选指数”收益凭证，创新性地突破了传统财富管理服务的局限，构建起综合金融服务的新载体。该产品通过双重路径实现金融赋能：一方面拓展券商固收业务的金融服务边界，另一方面依托指数编制精准引导市场资金流向国家战略领域，有效履行了国有金融机构服务实体经济的责任担当。这一创新实践不仅显著提升了深圳国资企业在资本市场的品牌溢价能力，更通过定制化产品结构与柔性服务机制，为机构和企业投资者提供了高度适配的优质资产配置选择，成功激活了投融资双向循环，成为服务国家战略的生动</w:t>
      </w:r>
      <w:r>
        <w:rPr>
          <w:rFonts w:hint="eastAsia" w:ascii="仿宋_GB2312" w:eastAsia="仿宋_GB2312" w:hAnsiTheme="minorHAnsi" w:cstheme="minorBidi"/>
          <w:snapToGrid w:val="0"/>
          <w:kern w:val="0"/>
          <w:sz w:val="32"/>
          <w:szCs w:val="32"/>
        </w:rPr>
        <w:t>实践</w:t>
      </w:r>
      <w:r>
        <w:rPr>
          <w:rFonts w:hint="eastAsia" w:ascii="仿宋_GB2312" w:eastAsia="仿宋_GB2312" w:hAnsiTheme="minorHAnsi" w:cstheme="minorBidi"/>
          <w:snapToGrid w:val="0"/>
          <w:kern w:val="0"/>
          <w:sz w:val="32"/>
          <w:szCs w:val="32"/>
          <w:lang w:eastAsia="zh-Hans"/>
        </w:rPr>
        <w:t>。</w:t>
      </w:r>
    </w:p>
    <w:p w14:paraId="54EBDE1D">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r>
        <w:rPr>
          <w:rFonts w:hint="eastAsia" w:ascii="仿宋_GB2312" w:eastAsia="仿宋_GB2312" w:hAnsiTheme="minorHAnsi" w:cstheme="minorBidi"/>
          <w:snapToGrid w:val="0"/>
          <w:kern w:val="0"/>
          <w:sz w:val="32"/>
          <w:szCs w:val="32"/>
          <w:lang w:eastAsia="zh-Hans"/>
        </w:rPr>
        <w:t>国信</w:t>
      </w:r>
      <w:r>
        <w:rPr>
          <w:rFonts w:hint="eastAsia" w:ascii="仿宋_GB2312" w:eastAsia="仿宋_GB2312" w:hAnsiTheme="minorHAnsi" w:cstheme="minorBidi"/>
          <w:snapToGrid w:val="0"/>
          <w:kern w:val="0"/>
          <w:sz w:val="32"/>
          <w:szCs w:val="32"/>
          <w:lang w:val="en-US" w:eastAsia="zh-CN"/>
        </w:rPr>
        <w:t>证券</w:t>
      </w:r>
      <w:r>
        <w:rPr>
          <w:rFonts w:hint="eastAsia" w:ascii="仿宋_GB2312" w:eastAsia="仿宋_GB2312" w:hAnsiTheme="minorHAnsi" w:cstheme="minorBidi"/>
          <w:snapToGrid w:val="0"/>
          <w:kern w:val="0"/>
          <w:sz w:val="32"/>
          <w:szCs w:val="32"/>
          <w:lang w:eastAsia="zh-Hans"/>
        </w:rPr>
        <w:t>将</w:t>
      </w:r>
      <w:r>
        <w:rPr>
          <w:rFonts w:hint="eastAsia" w:ascii="仿宋_GB2312" w:eastAsia="仿宋_GB2312" w:hAnsiTheme="minorHAnsi" w:cstheme="minorBidi"/>
          <w:snapToGrid w:val="0"/>
          <w:kern w:val="0"/>
          <w:sz w:val="32"/>
          <w:szCs w:val="32"/>
          <w:lang w:val="en-US" w:eastAsia="zh-CN"/>
        </w:rPr>
        <w:t>始终</w:t>
      </w:r>
      <w:r>
        <w:rPr>
          <w:rFonts w:hint="eastAsia" w:ascii="仿宋_GB2312" w:eastAsia="仿宋_GB2312" w:hAnsiTheme="minorHAnsi" w:cstheme="minorBidi"/>
          <w:snapToGrid w:val="0"/>
          <w:kern w:val="0"/>
          <w:sz w:val="32"/>
          <w:szCs w:val="32"/>
          <w:lang w:eastAsia="zh-Hans"/>
        </w:rPr>
        <w:t>围绕</w:t>
      </w:r>
      <w:r>
        <w:rPr>
          <w:rFonts w:hint="eastAsia" w:ascii="仿宋_GB2312" w:eastAsia="仿宋_GB2312" w:hAnsiTheme="minorHAnsi" w:cstheme="minorBidi"/>
          <w:snapToGrid w:val="0"/>
          <w:kern w:val="0"/>
          <w:sz w:val="32"/>
          <w:szCs w:val="32"/>
          <w:lang w:val="en-US" w:eastAsia="zh-CN"/>
        </w:rPr>
        <w:t>金融</w:t>
      </w:r>
      <w:r>
        <w:rPr>
          <w:rFonts w:hint="eastAsia" w:ascii="仿宋_GB2312" w:eastAsia="仿宋_GB2312" w:hAnsiTheme="minorHAnsi" w:cstheme="minorBidi"/>
          <w:snapToGrid w:val="0"/>
          <w:kern w:val="0"/>
          <w:sz w:val="32"/>
          <w:szCs w:val="32"/>
          <w:lang w:eastAsia="zh-Hans"/>
        </w:rPr>
        <w:t>“五篇大文章”战略方向，持续深化指数生态建设：一方面，通过丰富指数产品矩阵，聚焦科技金融、绿色金融等领域，继续开发科创主题指数、地区性主题指数等特色品种，积极响应、精准匹配国家战略导向。另一方面，通过强化场外工具与标准产品联动，依托证券公司的研究与策略开发优势，开发“固收+”、大类资产配置等指数，完善指数生态建设，实现“指数开发—场外工具—财富管理”闭环，满足普通投资者、银行理财、养老金、保险资金等不同资金属性对稳健收益资产的个性化需求</w:t>
      </w:r>
      <w:r>
        <w:rPr>
          <w:rFonts w:hint="eastAsia" w:ascii="仿宋_GB2312" w:eastAsia="仿宋_GB2312" w:hAnsiTheme="minorHAnsi" w:cstheme="minorBidi"/>
          <w:snapToGrid w:val="0"/>
          <w:kern w:val="0"/>
          <w:sz w:val="32"/>
          <w:szCs w:val="32"/>
          <w:lang w:eastAsia="zh-CN"/>
        </w:rPr>
        <w:t>。</w:t>
      </w:r>
      <w:r>
        <w:rPr>
          <w:rFonts w:hint="eastAsia" w:ascii="仿宋_GB2312" w:eastAsia="仿宋_GB2312" w:hAnsiTheme="minorHAnsi" w:cstheme="minorBidi"/>
          <w:snapToGrid w:val="0"/>
          <w:kern w:val="0"/>
          <w:sz w:val="32"/>
          <w:szCs w:val="32"/>
          <w:lang w:val="en-US" w:eastAsia="zh-CN"/>
        </w:rPr>
        <w:t>同时，将持续</w:t>
      </w:r>
      <w:r>
        <w:rPr>
          <w:rFonts w:hint="eastAsia" w:ascii="仿宋_GB2312" w:eastAsia="仿宋_GB2312" w:hAnsiTheme="minorHAnsi" w:cstheme="minorBidi"/>
          <w:snapToGrid w:val="0"/>
          <w:kern w:val="0"/>
          <w:sz w:val="32"/>
          <w:szCs w:val="32"/>
          <w:lang w:eastAsia="zh-Hans"/>
        </w:rPr>
        <w:t>以专业能力为核心驱动，在资产端与资金端架设高效桥梁，为投资者参与科技金融、绿色金融、普惠金融、养老金融、数字金融等提供全生命周期服务，强化金融服务实体经济的枢纽功能，书写金融服务实体经济的高质量答卷。</w:t>
      </w:r>
    </w:p>
    <w:p w14:paraId="77B4DE11">
      <w:pPr>
        <w:spacing w:line="560" w:lineRule="exact"/>
        <w:ind w:firstLine="640" w:firstLineChars="200"/>
        <w:rPr>
          <w:rFonts w:hint="eastAsia" w:ascii="仿宋_GB2312" w:hAnsi="宋体" w:eastAsia="仿宋_GB2312" w:cstheme="minorBidi"/>
          <w:sz w:val="32"/>
          <w:szCs w:val="32"/>
        </w:rPr>
      </w:pPr>
    </w:p>
    <w:p w14:paraId="591C2440"/>
    <w:p w14:paraId="61C71A3C">
      <w:pPr>
        <w:adjustRightInd w:val="0"/>
        <w:snapToGrid w:val="0"/>
        <w:spacing w:line="350" w:lineRule="auto"/>
        <w:ind w:firstLine="640" w:firstLineChars="200"/>
        <w:rPr>
          <w:rFonts w:hint="eastAsia" w:ascii="仿宋_GB2312" w:eastAsia="仿宋_GB2312" w:hAnsiTheme="minorHAnsi" w:cstheme="minorBidi"/>
          <w:snapToGrid w:val="0"/>
          <w:kern w:val="0"/>
          <w:sz w:val="32"/>
          <w:szCs w:val="32"/>
          <w:lang w:eastAsia="zh-Hans"/>
        </w:rPr>
      </w:pPr>
    </w:p>
    <w:p w14:paraId="78DC7233">
      <w:pPr>
        <w:adjustRightInd w:val="0"/>
        <w:snapToGrid w:val="0"/>
        <w:spacing w:line="350" w:lineRule="auto"/>
        <w:ind w:firstLine="640" w:firstLineChars="200"/>
        <w:rPr>
          <w:rFonts w:ascii="仿宋_GB2312" w:eastAsia="仿宋_GB2312" w:hAnsiTheme="minorHAnsi" w:cstheme="minorBidi"/>
          <w:snapToGrid w:val="0"/>
          <w:kern w:val="0"/>
          <w:sz w:val="32"/>
          <w:szCs w:val="32"/>
          <w:lang w:eastAsia="zh-Hans"/>
        </w:rPr>
      </w:pPr>
    </w:p>
    <w:p w14:paraId="65F620E8">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C0AA8"/>
    <w:rsid w:val="01E43B06"/>
    <w:rsid w:val="0FB104C7"/>
    <w:rsid w:val="11811943"/>
    <w:rsid w:val="19B91BAD"/>
    <w:rsid w:val="2A0030AB"/>
    <w:rsid w:val="30ED53AB"/>
    <w:rsid w:val="36CA3A99"/>
    <w:rsid w:val="3AE27603"/>
    <w:rsid w:val="604A33D1"/>
    <w:rsid w:val="66D41C46"/>
    <w:rsid w:val="6C1C0317"/>
    <w:rsid w:val="74D27DEE"/>
    <w:rsid w:val="759C0AA8"/>
    <w:rsid w:val="75E7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1852</Words>
  <Characters>1874</Characters>
  <Lines>0</Lines>
  <Paragraphs>0</Paragraphs>
  <TotalTime>9</TotalTime>
  <ScaleCrop>false</ScaleCrop>
  <LinksUpToDate>false</LinksUpToDate>
  <CharactersWithSpaces>1874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2025-10-27T08:22:00Z</dcterms:created>
  <dc:creator>YDM</dc:creator>
  <cp:lastModifiedBy>YDM</cp:lastModifiedBy>
  <dcterms:modified xsi:type="dcterms:W3CDTF">2025-10-28T09:02:42Z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49E37E05829E4EF3B258C56B0B3DD3E9_11</vt:lpwstr>
  </property>
  <property fmtid="{D5CDD505-2E9C-101B-9397-08002B2CF9AE}" pid="4" name="KSOTemplateDocerSaveRecord">
    <vt:lpwstr>eyJoZGlkIjoiOGI5MDkxMjgwNmYzYmM4YWVkNDg0ODI1Njk0OWRhMWQiLCJ1c2VySWQiOiIyMzkyMzIyNzIifQ==</vt:lpwstr>
  </property>
</Properties>
</file>